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26" w:rsidRDefault="004A4826"/>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2970"/>
      </w:tblGrid>
      <w:tr w:rsidR="004A4826" w:rsidRPr="004A4826" w:rsidTr="00943299">
        <w:trPr>
          <w:jc w:val="right"/>
        </w:trPr>
        <w:tc>
          <w:tcPr>
            <w:tcW w:w="8080" w:type="dxa"/>
          </w:tcPr>
          <w:p w:rsidR="004A4826" w:rsidRPr="004A4826" w:rsidRDefault="001F13EF">
            <w:pPr>
              <w:rPr>
                <w:lang w:val="fr-FR"/>
              </w:rPr>
            </w:pPr>
            <w:r>
              <w:rPr>
                <w:noProof/>
              </w:rPr>
              <w:drawing>
                <wp:inline distT="0" distB="0" distL="0" distR="0">
                  <wp:extent cx="5181600" cy="1095375"/>
                  <wp:effectExtent l="19050" t="0" r="0" b="0"/>
                  <wp:docPr id="164" name="Afbeelding 1" descr="EuroCl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uroClonality"/>
                          <pic:cNvPicPr>
                            <a:picLocks noChangeAspect="1" noChangeArrowheads="1"/>
                          </pic:cNvPicPr>
                        </pic:nvPicPr>
                        <pic:blipFill>
                          <a:blip r:embed="rId5" cstate="print"/>
                          <a:srcRect/>
                          <a:stretch>
                            <a:fillRect/>
                          </a:stretch>
                        </pic:blipFill>
                        <pic:spPr bwMode="auto">
                          <a:xfrm>
                            <a:off x="0" y="0"/>
                            <a:ext cx="5181600" cy="1095375"/>
                          </a:xfrm>
                          <a:prstGeom prst="rect">
                            <a:avLst/>
                          </a:prstGeom>
                          <a:noFill/>
                          <a:ln w="9525">
                            <a:noFill/>
                            <a:miter lim="800000"/>
                            <a:headEnd/>
                            <a:tailEnd/>
                          </a:ln>
                        </pic:spPr>
                      </pic:pic>
                    </a:graphicData>
                  </a:graphic>
                </wp:inline>
              </w:drawing>
            </w:r>
          </w:p>
          <w:p w:rsidR="004A4826" w:rsidRPr="004A4826" w:rsidRDefault="004A4826" w:rsidP="004A4826">
            <w:pPr>
              <w:rPr>
                <w:rStyle w:val="Zwaar"/>
                <w:rFonts w:ascii="Arial" w:hAnsi="Arial" w:cs="Arial"/>
                <w:szCs w:val="24"/>
                <w:lang w:val="en-US"/>
              </w:rPr>
            </w:pPr>
            <w:r w:rsidRPr="004A4826">
              <w:rPr>
                <w:rStyle w:val="Zwaar"/>
                <w:rFonts w:ascii="Arial" w:hAnsi="Arial" w:cs="Arial"/>
                <w:szCs w:val="24"/>
                <w:lang w:val="en-US"/>
              </w:rPr>
              <w:t>EuroClonality WORKSHOP: “Clonality assessment in Pathology”</w:t>
            </w:r>
          </w:p>
          <w:p w:rsidR="004A4826" w:rsidRPr="004A4826" w:rsidRDefault="00CD029F" w:rsidP="004A4826">
            <w:pPr>
              <w:rPr>
                <w:rStyle w:val="Zwaar"/>
                <w:rFonts w:ascii="Arial" w:hAnsi="Arial" w:cs="Arial"/>
                <w:szCs w:val="24"/>
                <w:lang w:val="en-US"/>
              </w:rPr>
            </w:pPr>
            <w:r>
              <w:rPr>
                <w:rStyle w:val="Zwaar"/>
                <w:rFonts w:ascii="Arial" w:hAnsi="Arial" w:cs="Arial"/>
                <w:szCs w:val="24"/>
                <w:lang w:val="en-US"/>
              </w:rPr>
              <w:t>February 15-17</w:t>
            </w:r>
            <w:r w:rsidR="004A4826" w:rsidRPr="004A4826">
              <w:rPr>
                <w:rStyle w:val="Zwaar"/>
                <w:rFonts w:ascii="Arial" w:hAnsi="Arial" w:cs="Arial"/>
                <w:szCs w:val="24"/>
                <w:lang w:val="en-US"/>
              </w:rPr>
              <w:t>, 201</w:t>
            </w:r>
            <w:r>
              <w:rPr>
                <w:rStyle w:val="Zwaar"/>
                <w:rFonts w:ascii="Arial" w:hAnsi="Arial" w:cs="Arial"/>
                <w:szCs w:val="24"/>
                <w:lang w:val="en-US"/>
              </w:rPr>
              <w:t>6</w:t>
            </w:r>
          </w:p>
          <w:p w:rsidR="004A4826" w:rsidRPr="004A4826" w:rsidRDefault="004A4826" w:rsidP="004A4826">
            <w:pPr>
              <w:rPr>
                <w:rStyle w:val="Zwaar"/>
                <w:rFonts w:ascii="Arial" w:hAnsi="Arial" w:cs="Arial"/>
                <w:szCs w:val="24"/>
                <w:lang w:val="en-US"/>
              </w:rPr>
            </w:pPr>
          </w:p>
          <w:p w:rsidR="004A4826" w:rsidRPr="004A4826" w:rsidRDefault="004A4826" w:rsidP="004A4826">
            <w:pPr>
              <w:jc w:val="both"/>
              <w:rPr>
                <w:rFonts w:ascii="Arial" w:hAnsi="Arial" w:cs="Arial"/>
                <w:color w:val="000000"/>
                <w:lang w:val="en-US"/>
              </w:rPr>
            </w:pPr>
            <w:r w:rsidRPr="004A4826">
              <w:rPr>
                <w:rStyle w:val="Zwaar"/>
                <w:rFonts w:ascii="Arial" w:hAnsi="Arial" w:cs="Arial"/>
                <w:lang w:val="en-US"/>
              </w:rPr>
              <w:t>Introduction</w:t>
            </w: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 xml:space="preserve">Clonality testing is at present an established tool in the diagnosis of malignant lymphomas. Between 5-15% of samples submitted to pathology laboratories which are suspected to be malignant lymphomas can benefit from clonality testing, provided that this is performed in laboratories with sufficient expertise. With the introduction of a new and complete set of primer sets for the full program of clonality testing by the Biomed-2 group in 2003, a major step in standardization and quality improvement was set. At the moment many laboratories throughout the world are introducing the technology, resulting in questions on pitfalls in technique and the interpretation of the results. </w:t>
            </w:r>
          </w:p>
          <w:p w:rsidR="004A4826" w:rsidRPr="004A4826" w:rsidRDefault="004A4826" w:rsidP="004A4826">
            <w:pPr>
              <w:jc w:val="both"/>
              <w:rPr>
                <w:rStyle w:val="Zwaar"/>
                <w:rFonts w:ascii="Arial" w:hAnsi="Arial" w:cs="Arial"/>
                <w:color w:val="000000"/>
                <w:lang w:val="en-US"/>
              </w:rPr>
            </w:pPr>
          </w:p>
          <w:p w:rsidR="004A4826" w:rsidRPr="004A4826" w:rsidRDefault="004A4826" w:rsidP="004A4826">
            <w:pPr>
              <w:jc w:val="both"/>
              <w:rPr>
                <w:rStyle w:val="Zwaar"/>
                <w:rFonts w:ascii="Arial" w:hAnsi="Arial" w:cs="Arial"/>
                <w:color w:val="000000"/>
                <w:lang w:val="en-US"/>
              </w:rPr>
            </w:pPr>
            <w:r w:rsidRPr="004A4826">
              <w:rPr>
                <w:rStyle w:val="Zwaar"/>
                <w:rFonts w:ascii="Arial" w:hAnsi="Arial" w:cs="Arial"/>
                <w:color w:val="000000"/>
                <w:lang w:val="en-US"/>
              </w:rPr>
              <w:t>EuroClonality/BIOMED2 workshops</w:t>
            </w: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 xml:space="preserve">Therefore, the EuroClonality/Biomed-2 consortium decided to organize annual workshops for laboratories that have introduced clonality testing using the new Biomed-2 primers sets in order to further improve the quality and reliability of the technique in routine practice. Since the vision of the EuroClonality/Biomed-2 consortium is that clonality testing can be performed only reliably when there is close interaction between the molecular biologist and the (hemato)pathologist these workshops are organized for such partners. </w:t>
            </w:r>
          </w:p>
          <w:p w:rsidR="004A4826" w:rsidRPr="004A4826" w:rsidRDefault="004A4826" w:rsidP="004A4826">
            <w:pPr>
              <w:jc w:val="both"/>
              <w:rPr>
                <w:rFonts w:ascii="Arial" w:hAnsi="Arial" w:cs="Arial"/>
                <w:color w:val="000000"/>
                <w:lang w:val="en-US"/>
              </w:rPr>
            </w:pP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 xml:space="preserve">The workshops are for a maximum number of 16 persons and uses cases from the Nijmegen group as well as cases from the participants on a hands-on basis, using multiheaded microscopy for pathology evaluation and raw data from clonality tests for interpretation. </w:t>
            </w:r>
          </w:p>
          <w:p w:rsidR="004A4826" w:rsidRPr="004A4826" w:rsidRDefault="004A4826" w:rsidP="004A4826">
            <w:pPr>
              <w:jc w:val="both"/>
              <w:rPr>
                <w:rFonts w:ascii="Arial" w:hAnsi="Arial" w:cs="Arial"/>
                <w:color w:val="000000"/>
                <w:lang w:val="en-US"/>
              </w:rPr>
            </w:pP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We therefore invite persons to the workshop:</w:t>
            </w:r>
          </w:p>
          <w:p w:rsidR="004A4826" w:rsidRPr="004A4826" w:rsidRDefault="004A4826" w:rsidP="004A4826">
            <w:pPr>
              <w:pStyle w:val="Lijstalinea"/>
              <w:numPr>
                <w:ilvl w:val="0"/>
                <w:numId w:val="10"/>
              </w:numPr>
              <w:spacing w:after="0"/>
              <w:jc w:val="both"/>
              <w:rPr>
                <w:rFonts w:ascii="Arial" w:hAnsi="Arial" w:cs="Arial"/>
                <w:color w:val="000000"/>
                <w:lang w:val="en-US"/>
              </w:rPr>
            </w:pPr>
            <w:r w:rsidRPr="004A4826">
              <w:rPr>
                <w:rFonts w:ascii="Arial" w:hAnsi="Arial" w:cs="Arial"/>
                <w:color w:val="000000"/>
                <w:lang w:val="en-US"/>
              </w:rPr>
              <w:t xml:space="preserve">who have started to use the Biomed-2 PCR technique </w:t>
            </w:r>
          </w:p>
          <w:p w:rsidR="004A4826" w:rsidRPr="004A4826" w:rsidRDefault="004A4826" w:rsidP="004A4826">
            <w:pPr>
              <w:pStyle w:val="Lijstalinea"/>
              <w:numPr>
                <w:ilvl w:val="0"/>
                <w:numId w:val="10"/>
              </w:numPr>
              <w:spacing w:after="0"/>
              <w:jc w:val="both"/>
              <w:rPr>
                <w:rFonts w:ascii="Arial" w:hAnsi="Arial" w:cs="Arial"/>
                <w:color w:val="000000"/>
                <w:lang w:val="en-US"/>
              </w:rPr>
            </w:pPr>
            <w:r w:rsidRPr="004A4826">
              <w:rPr>
                <w:rFonts w:ascii="Arial" w:hAnsi="Arial" w:cs="Arial"/>
                <w:color w:val="000000"/>
                <w:lang w:val="en-US"/>
              </w:rPr>
              <w:t xml:space="preserve">who are able to bring cases for evaluation during the workshop </w:t>
            </w:r>
          </w:p>
          <w:p w:rsidR="004A4826" w:rsidRPr="004A4826" w:rsidRDefault="004A4826" w:rsidP="004A4826">
            <w:pPr>
              <w:pStyle w:val="Lijstalinea"/>
              <w:numPr>
                <w:ilvl w:val="0"/>
                <w:numId w:val="10"/>
              </w:numPr>
              <w:spacing w:after="0"/>
              <w:jc w:val="both"/>
              <w:rPr>
                <w:rFonts w:ascii="Arial" w:hAnsi="Arial" w:cs="Arial"/>
                <w:color w:val="000000"/>
                <w:lang w:val="en-US"/>
              </w:rPr>
            </w:pPr>
            <w:r w:rsidRPr="004A4826">
              <w:rPr>
                <w:rFonts w:ascii="Arial" w:hAnsi="Arial" w:cs="Arial"/>
                <w:color w:val="000000"/>
                <w:lang w:val="en-US"/>
              </w:rPr>
              <w:t>who participate as combination of pathology and molecular biology: 2 persons per institute will be accepted for the workshop.</w:t>
            </w:r>
          </w:p>
          <w:p w:rsidR="004A4826" w:rsidRPr="004A4826" w:rsidRDefault="004A4826" w:rsidP="004A4826">
            <w:pPr>
              <w:jc w:val="both"/>
              <w:rPr>
                <w:rFonts w:ascii="Arial" w:hAnsi="Arial" w:cs="Arial"/>
                <w:b/>
                <w:color w:val="000000"/>
                <w:lang w:val="en-US"/>
              </w:rPr>
            </w:pPr>
          </w:p>
          <w:p w:rsidR="004A4826" w:rsidRPr="004A4826" w:rsidRDefault="004A4826" w:rsidP="004A4826">
            <w:pPr>
              <w:jc w:val="both"/>
              <w:rPr>
                <w:rFonts w:ascii="Arial" w:hAnsi="Arial" w:cs="Arial"/>
                <w:color w:val="000000"/>
                <w:lang w:val="en-US"/>
              </w:rPr>
            </w:pPr>
            <w:r w:rsidRPr="004A4826">
              <w:rPr>
                <w:rFonts w:ascii="Arial" w:hAnsi="Arial" w:cs="Arial"/>
                <w:b/>
                <w:color w:val="000000"/>
                <w:lang w:val="en-US"/>
              </w:rPr>
              <w:t>Participation</w:t>
            </w:r>
            <w:r w:rsidRPr="004A4826">
              <w:rPr>
                <w:rFonts w:ascii="Arial" w:hAnsi="Arial" w:cs="Arial"/>
                <w:color w:val="000000"/>
                <w:lang w:val="en-US"/>
              </w:rPr>
              <w:t> </w:t>
            </w: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The registration fee for participation in the workshop is € 200. The registration form, including  personal details and description of the cases to be presented, should be received by the Workshop Secretariat (</w:t>
            </w:r>
            <w:hyperlink r:id="rId6" w:history="1">
              <w:r w:rsidRPr="004A4826">
                <w:rPr>
                  <w:rFonts w:ascii="Arial" w:hAnsi="Arial" w:cs="Arial"/>
                  <w:color w:val="000080"/>
                  <w:lang w:val="en-US"/>
                </w:rPr>
                <w:t>workshop@euroclonality.org</w:t>
              </w:r>
            </w:hyperlink>
            <w:r w:rsidRPr="004A4826">
              <w:rPr>
                <w:rFonts w:ascii="Arial" w:hAnsi="Arial" w:cs="Arial"/>
                <w:color w:val="000000"/>
                <w:lang w:val="en-US"/>
              </w:rPr>
              <w:t xml:space="preserve">) no later than </w:t>
            </w:r>
            <w:r w:rsidR="00D14947">
              <w:rPr>
                <w:rFonts w:ascii="Arial" w:hAnsi="Arial" w:cs="Arial"/>
                <w:color w:val="000000"/>
                <w:lang w:val="en-US"/>
              </w:rPr>
              <w:t>November</w:t>
            </w:r>
            <w:r w:rsidR="00CD029F">
              <w:rPr>
                <w:rFonts w:ascii="Arial" w:hAnsi="Arial" w:cs="Arial"/>
                <w:color w:val="000000"/>
                <w:lang w:val="en-US"/>
              </w:rPr>
              <w:t xml:space="preserve"> </w:t>
            </w:r>
            <w:r w:rsidR="00D14947">
              <w:rPr>
                <w:rFonts w:ascii="Arial" w:hAnsi="Arial" w:cs="Arial"/>
                <w:color w:val="000000"/>
                <w:lang w:val="en-US"/>
              </w:rPr>
              <w:t>27</w:t>
            </w:r>
            <w:r w:rsidRPr="004A4826">
              <w:rPr>
                <w:rFonts w:ascii="Arial" w:hAnsi="Arial" w:cs="Arial"/>
                <w:color w:val="000000"/>
                <w:lang w:val="en-US"/>
              </w:rPr>
              <w:t>, 201</w:t>
            </w:r>
            <w:r w:rsidR="00E64EAC">
              <w:rPr>
                <w:rFonts w:ascii="Arial" w:hAnsi="Arial" w:cs="Arial"/>
                <w:color w:val="000000"/>
                <w:lang w:val="en-US"/>
              </w:rPr>
              <w:t>5</w:t>
            </w:r>
            <w:r w:rsidRPr="004A4826">
              <w:rPr>
                <w:rFonts w:ascii="Arial" w:hAnsi="Arial" w:cs="Arial"/>
                <w:color w:val="000000"/>
                <w:lang w:val="en-US"/>
              </w:rPr>
              <w:t xml:space="preserve">. The registrants will be informed about the acceptance for the workshop no later than </w:t>
            </w:r>
            <w:r w:rsidR="00CD029F">
              <w:rPr>
                <w:rFonts w:ascii="Arial" w:hAnsi="Arial" w:cs="Arial"/>
                <w:color w:val="000000"/>
                <w:lang w:val="en-US"/>
              </w:rPr>
              <w:t>December</w:t>
            </w:r>
            <w:r w:rsidRPr="004A4826">
              <w:rPr>
                <w:rFonts w:ascii="Arial" w:hAnsi="Arial" w:cs="Arial"/>
                <w:color w:val="000000"/>
                <w:lang w:val="en-US"/>
              </w:rPr>
              <w:t xml:space="preserve"> 1</w:t>
            </w:r>
            <w:r w:rsidR="00CD029F">
              <w:rPr>
                <w:rFonts w:ascii="Arial" w:hAnsi="Arial" w:cs="Arial"/>
                <w:color w:val="000000"/>
                <w:lang w:val="en-US"/>
              </w:rPr>
              <w:t>8</w:t>
            </w:r>
            <w:r w:rsidRPr="004A4826">
              <w:rPr>
                <w:rFonts w:ascii="Arial" w:hAnsi="Arial" w:cs="Arial"/>
                <w:color w:val="000000"/>
                <w:lang w:val="en-US"/>
              </w:rPr>
              <w:t>, 201</w:t>
            </w:r>
            <w:r w:rsidR="00EE4AE3">
              <w:rPr>
                <w:rFonts w:ascii="Arial" w:hAnsi="Arial" w:cs="Arial"/>
                <w:color w:val="000000"/>
                <w:lang w:val="en-US"/>
              </w:rPr>
              <w:t>5.</w:t>
            </w:r>
            <w:r w:rsidRPr="004A4826">
              <w:rPr>
                <w:rFonts w:ascii="Arial" w:hAnsi="Arial" w:cs="Arial"/>
                <w:color w:val="000000"/>
                <w:lang w:val="en-US"/>
              </w:rPr>
              <w:t xml:space="preserve"> Information on the program, travel to Nijmegen and accomodation fees will be provided upon acceptance of the registrants. </w:t>
            </w: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With this background, we are convinced that the workshops are a very fruitful experience that will lead to improved diagnosis of malignant lymphomas and thereby better care for our patients.</w:t>
            </w:r>
          </w:p>
          <w:p w:rsidR="004A4826" w:rsidRPr="004A4826" w:rsidRDefault="004A4826" w:rsidP="004A4826">
            <w:pPr>
              <w:jc w:val="both"/>
              <w:rPr>
                <w:rFonts w:ascii="Arial" w:hAnsi="Arial" w:cs="Arial"/>
                <w:color w:val="000000"/>
                <w:lang w:val="en-US"/>
              </w:rPr>
            </w:pPr>
          </w:p>
          <w:p w:rsidR="004A4826" w:rsidRPr="004A4826" w:rsidRDefault="004A4826" w:rsidP="004A4826">
            <w:pPr>
              <w:jc w:val="both"/>
              <w:rPr>
                <w:rFonts w:ascii="Arial" w:hAnsi="Arial" w:cs="Arial"/>
                <w:color w:val="000000"/>
                <w:lang w:val="en-US"/>
              </w:rPr>
            </w:pPr>
            <w:r w:rsidRPr="004A4826">
              <w:rPr>
                <w:rFonts w:ascii="Arial" w:hAnsi="Arial" w:cs="Arial"/>
                <w:color w:val="000000"/>
                <w:lang w:val="en-US"/>
              </w:rPr>
              <w:t>On behalf of the EuroClonality/Biomed-2 consortium on Clonality testing,</w:t>
            </w:r>
          </w:p>
          <w:p w:rsidR="004A4826" w:rsidRPr="004A4826" w:rsidRDefault="004A4826" w:rsidP="00BB5888">
            <w:pPr>
              <w:jc w:val="center"/>
              <w:rPr>
                <w:rFonts w:ascii="Arial" w:hAnsi="Arial" w:cs="Arial"/>
                <w:color w:val="000000"/>
                <w:lang w:val="en-US"/>
              </w:rPr>
            </w:pPr>
          </w:p>
          <w:p w:rsidR="004A4826" w:rsidRPr="004A4826" w:rsidRDefault="004A4826" w:rsidP="004A4826">
            <w:pPr>
              <w:jc w:val="both"/>
              <w:rPr>
                <w:rFonts w:ascii="Arial" w:hAnsi="Arial" w:cs="Arial"/>
                <w:color w:val="000000"/>
              </w:rPr>
            </w:pPr>
            <w:r w:rsidRPr="004A4826">
              <w:rPr>
                <w:rFonts w:ascii="Arial" w:hAnsi="Arial" w:cs="Arial"/>
                <w:color w:val="000000"/>
              </w:rPr>
              <w:t>Patricia Groenen, Han van Krieken</w:t>
            </w:r>
            <w:r w:rsidR="00593807">
              <w:rPr>
                <w:rFonts w:ascii="Arial" w:hAnsi="Arial" w:cs="Arial"/>
                <w:color w:val="000000"/>
              </w:rPr>
              <w:t xml:space="preserve"> and</w:t>
            </w:r>
            <w:r w:rsidRPr="004A4826">
              <w:rPr>
                <w:rFonts w:ascii="Arial" w:hAnsi="Arial" w:cs="Arial"/>
                <w:color w:val="000000"/>
              </w:rPr>
              <w:t xml:space="preserve"> Ton Langerak</w:t>
            </w:r>
          </w:p>
          <w:p w:rsidR="004A4826" w:rsidRPr="004A4826" w:rsidRDefault="004A4826" w:rsidP="004A4826">
            <w:pPr>
              <w:jc w:val="both"/>
              <w:rPr>
                <w:rFonts w:ascii="Arial" w:hAnsi="Arial" w:cs="Arial"/>
                <w:color w:val="000000"/>
              </w:rPr>
            </w:pPr>
          </w:p>
          <w:p w:rsidR="004A4826" w:rsidRPr="004A4826" w:rsidRDefault="004A4826" w:rsidP="004A4826">
            <w:pPr>
              <w:rPr>
                <w:rFonts w:ascii="Arial" w:hAnsi="Arial" w:cs="Arial"/>
                <w:color w:val="000000"/>
                <w:lang w:val="fr-FR"/>
              </w:rPr>
            </w:pPr>
            <w:r w:rsidRPr="004A4826">
              <w:rPr>
                <w:rFonts w:ascii="Arial" w:hAnsi="Arial" w:cs="Arial"/>
                <w:color w:val="000000"/>
                <w:lang w:val="fr-FR"/>
              </w:rPr>
              <w:t xml:space="preserve">contact: </w:t>
            </w:r>
            <w:hyperlink r:id="rId7" w:history="1">
              <w:r w:rsidRPr="004A4826">
                <w:rPr>
                  <w:rStyle w:val="Zwaar"/>
                  <w:rFonts w:ascii="Arial" w:hAnsi="Arial" w:cs="Arial"/>
                  <w:color w:val="000080"/>
                  <w:u w:val="single"/>
                  <w:lang w:val="fr-FR"/>
                </w:rPr>
                <w:t>workshop@euroclonality.org</w:t>
              </w:r>
            </w:hyperlink>
          </w:p>
          <w:p w:rsidR="004A4826" w:rsidRPr="004A4826" w:rsidRDefault="004A4826" w:rsidP="004A4826">
            <w:pPr>
              <w:rPr>
                <w:lang w:val="fr-FR"/>
              </w:rPr>
            </w:pPr>
          </w:p>
          <w:p w:rsidR="004A4826" w:rsidRPr="004A4826" w:rsidRDefault="00D27DED" w:rsidP="004A4826">
            <w:pPr>
              <w:rPr>
                <w:lang w:val="fr-FR"/>
              </w:rPr>
            </w:pPr>
            <w:hyperlink r:id="rId8" w:history="1">
              <w:r w:rsidR="004A4826" w:rsidRPr="004A4826">
                <w:rPr>
                  <w:rStyle w:val="Hyperlink"/>
                  <w:rFonts w:ascii="Arial" w:hAnsi="Arial" w:cs="Arial"/>
                  <w:sz w:val="24"/>
                  <w:szCs w:val="24"/>
                  <w:lang w:val="fr-FR"/>
                </w:rPr>
                <w:t>www.EuroClonality.org</w:t>
              </w:r>
            </w:hyperlink>
          </w:p>
        </w:tc>
        <w:tc>
          <w:tcPr>
            <w:tcW w:w="2970" w:type="dxa"/>
          </w:tcPr>
          <w:p w:rsidR="00552744" w:rsidRDefault="00552744" w:rsidP="00BB5888">
            <w:pPr>
              <w:jc w:val="center"/>
              <w:rPr>
                <w:rFonts w:ascii="Arial" w:hAnsi="Arial" w:cs="Arial"/>
                <w:lang w:val="fr-FR"/>
              </w:rPr>
            </w:pPr>
          </w:p>
          <w:p w:rsidR="0071460D" w:rsidRDefault="0071460D" w:rsidP="00BB5888">
            <w:pPr>
              <w:jc w:val="center"/>
              <w:rPr>
                <w:rFonts w:ascii="Arial" w:hAnsi="Arial" w:cs="Arial"/>
                <w:lang w:val="fr-FR"/>
              </w:rPr>
            </w:pPr>
          </w:p>
          <w:p w:rsidR="0071460D" w:rsidRDefault="0071460D" w:rsidP="00BB5888">
            <w:pPr>
              <w:jc w:val="center"/>
              <w:rPr>
                <w:rFonts w:ascii="Arial" w:hAnsi="Arial" w:cs="Arial"/>
                <w:lang w:val="fr-FR"/>
              </w:rPr>
            </w:pPr>
          </w:p>
          <w:p w:rsidR="00BB5888" w:rsidRPr="00BB5888" w:rsidRDefault="00BB5888" w:rsidP="00BB5888">
            <w:pPr>
              <w:jc w:val="center"/>
              <w:rPr>
                <w:rFonts w:ascii="Arial" w:hAnsi="Arial" w:cs="Arial"/>
                <w:lang w:val="fr-FR"/>
              </w:rPr>
            </w:pPr>
            <w:r w:rsidRPr="00BB5888">
              <w:rPr>
                <w:rFonts w:ascii="Arial" w:hAnsi="Arial" w:cs="Arial"/>
                <w:lang w:val="fr-FR"/>
              </w:rPr>
              <w:t>Workshop 201</w:t>
            </w:r>
            <w:r w:rsidR="00DE212B">
              <w:rPr>
                <w:rFonts w:ascii="Arial" w:hAnsi="Arial" w:cs="Arial"/>
                <w:lang w:val="fr-FR"/>
              </w:rPr>
              <w:t>5</w:t>
            </w:r>
          </w:p>
          <w:p w:rsidR="00BB5888" w:rsidRDefault="00BB5888" w:rsidP="00BB5888">
            <w:pPr>
              <w:jc w:val="right"/>
              <w:rPr>
                <w:lang w:val="fr-FR"/>
              </w:rPr>
            </w:pPr>
          </w:p>
          <w:p w:rsidR="004A4826" w:rsidRDefault="004A4826" w:rsidP="00F6316E">
            <w:pPr>
              <w:jc w:val="center"/>
              <w:rPr>
                <w:lang w:val="fr-FR"/>
              </w:rPr>
            </w:pPr>
          </w:p>
          <w:p w:rsidR="00552744" w:rsidRDefault="00DE212B" w:rsidP="00F6316E">
            <w:pPr>
              <w:jc w:val="center"/>
              <w:rPr>
                <w:lang w:val="fr-FR"/>
              </w:rPr>
            </w:pPr>
            <w:r>
              <w:rPr>
                <w:noProof/>
              </w:rPr>
              <w:drawing>
                <wp:inline distT="0" distB="0" distL="0" distR="0">
                  <wp:extent cx="1692000" cy="1118883"/>
                  <wp:effectExtent l="19050" t="0" r="3450" b="0"/>
                  <wp:docPr id="12" name="Afbeelding 7" descr="C:\Users\Z260117\AppData\Local\Microsoft\Windows\Temporary Internet Files\Content.Word\0210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260117\AppData\Local\Microsoft\Windows\Temporary Internet Files\Content.Word\02104253.jpg"/>
                          <pic:cNvPicPr>
                            <a:picLocks noChangeAspect="1" noChangeArrowheads="1"/>
                          </pic:cNvPicPr>
                        </pic:nvPicPr>
                        <pic:blipFill>
                          <a:blip r:embed="rId9" cstate="print"/>
                          <a:srcRect/>
                          <a:stretch>
                            <a:fillRect/>
                          </a:stretch>
                        </pic:blipFill>
                        <pic:spPr bwMode="auto">
                          <a:xfrm>
                            <a:off x="0" y="0"/>
                            <a:ext cx="1692275" cy="1114425"/>
                          </a:xfrm>
                          <a:prstGeom prst="rect">
                            <a:avLst/>
                          </a:prstGeom>
                          <a:noFill/>
                          <a:ln w="9525">
                            <a:noFill/>
                            <a:miter lim="800000"/>
                            <a:headEnd/>
                            <a:tailEnd/>
                          </a:ln>
                        </pic:spPr>
                      </pic:pic>
                    </a:graphicData>
                  </a:graphic>
                </wp:inline>
              </w:drawing>
            </w:r>
          </w:p>
          <w:p w:rsidR="00552744" w:rsidRDefault="00552744" w:rsidP="00F6316E">
            <w:pPr>
              <w:jc w:val="center"/>
              <w:rPr>
                <w:lang w:val="fr-FR"/>
              </w:rPr>
            </w:pPr>
          </w:p>
          <w:p w:rsidR="0071460D" w:rsidRDefault="00DE212B" w:rsidP="0071460D">
            <w:pPr>
              <w:rPr>
                <w:lang w:val="fr-FR"/>
              </w:rPr>
            </w:pPr>
            <w:r>
              <w:rPr>
                <w:noProof/>
              </w:rPr>
              <w:drawing>
                <wp:inline distT="0" distB="0" distL="0" distR="0">
                  <wp:extent cx="1701800" cy="2406187"/>
                  <wp:effectExtent l="19050" t="0" r="0" b="0"/>
                  <wp:docPr id="14" name="Afbeelding 10" descr="C:\Users\Z260117\AppData\Local\Microsoft\Windows\Temporary Internet Files\Content.Word\0210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260117\AppData\Local\Microsoft\Windows\Temporary Internet Files\Content.Word\02104241.jpg"/>
                          <pic:cNvPicPr>
                            <a:picLocks noChangeAspect="1" noChangeArrowheads="1"/>
                          </pic:cNvPicPr>
                        </pic:nvPicPr>
                        <pic:blipFill>
                          <a:blip r:embed="rId10" cstate="print"/>
                          <a:srcRect/>
                          <a:stretch>
                            <a:fillRect/>
                          </a:stretch>
                        </pic:blipFill>
                        <pic:spPr bwMode="auto">
                          <a:xfrm>
                            <a:off x="0" y="0"/>
                            <a:ext cx="1701718" cy="2406071"/>
                          </a:xfrm>
                          <a:prstGeom prst="rect">
                            <a:avLst/>
                          </a:prstGeom>
                          <a:noFill/>
                          <a:ln w="9525">
                            <a:noFill/>
                            <a:miter lim="800000"/>
                            <a:headEnd/>
                            <a:tailEnd/>
                          </a:ln>
                        </pic:spPr>
                      </pic:pic>
                    </a:graphicData>
                  </a:graphic>
                </wp:inline>
              </w:drawing>
            </w:r>
          </w:p>
          <w:p w:rsidR="00552744" w:rsidRDefault="00552744" w:rsidP="00F6316E">
            <w:pPr>
              <w:jc w:val="center"/>
              <w:rPr>
                <w:lang w:val="fr-FR"/>
              </w:rPr>
            </w:pPr>
          </w:p>
          <w:p w:rsidR="00552744" w:rsidRDefault="00DE212B" w:rsidP="00F6316E">
            <w:pPr>
              <w:jc w:val="center"/>
              <w:rPr>
                <w:lang w:val="fr-FR"/>
              </w:rPr>
            </w:pPr>
            <w:r>
              <w:rPr>
                <w:noProof/>
              </w:rPr>
              <w:drawing>
                <wp:inline distT="0" distB="0" distL="0" distR="0">
                  <wp:extent cx="1656080" cy="1091065"/>
                  <wp:effectExtent l="19050" t="0" r="1270" b="0"/>
                  <wp:docPr id="16" name="Afbeelding 13" descr="C:\Users\Z260117\AppData\Local\Microsoft\Windows\Temporary Internet Files\Content.Word\02104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260117\AppData\Local\Microsoft\Windows\Temporary Internet Files\Content.Word\02104263.jpg"/>
                          <pic:cNvPicPr>
                            <a:picLocks noChangeAspect="1" noChangeArrowheads="1"/>
                          </pic:cNvPicPr>
                        </pic:nvPicPr>
                        <pic:blipFill>
                          <a:blip r:embed="rId11" cstate="print"/>
                          <a:srcRect/>
                          <a:stretch>
                            <a:fillRect/>
                          </a:stretch>
                        </pic:blipFill>
                        <pic:spPr bwMode="auto">
                          <a:xfrm>
                            <a:off x="0" y="0"/>
                            <a:ext cx="1656000" cy="1091012"/>
                          </a:xfrm>
                          <a:prstGeom prst="rect">
                            <a:avLst/>
                          </a:prstGeom>
                          <a:noFill/>
                          <a:ln w="9525">
                            <a:noFill/>
                            <a:miter lim="800000"/>
                            <a:headEnd/>
                            <a:tailEnd/>
                          </a:ln>
                        </pic:spPr>
                      </pic:pic>
                    </a:graphicData>
                  </a:graphic>
                </wp:inline>
              </w:drawing>
            </w:r>
          </w:p>
          <w:p w:rsidR="00552744" w:rsidRDefault="00552744" w:rsidP="00552744">
            <w:pPr>
              <w:rPr>
                <w:lang w:val="fr-FR"/>
              </w:rPr>
            </w:pPr>
          </w:p>
          <w:p w:rsidR="0071460D" w:rsidRDefault="0071460D" w:rsidP="00552744">
            <w:pPr>
              <w:rPr>
                <w:lang w:val="fr-FR"/>
              </w:rPr>
            </w:pPr>
          </w:p>
          <w:p w:rsidR="00DE212B" w:rsidRDefault="00DE212B" w:rsidP="00552744">
            <w:pPr>
              <w:rPr>
                <w:lang w:val="fr-FR"/>
              </w:rPr>
            </w:pPr>
          </w:p>
          <w:p w:rsidR="00DE212B" w:rsidRPr="00552744" w:rsidRDefault="00DE212B" w:rsidP="00552744">
            <w:pPr>
              <w:rPr>
                <w:lang w:val="fr-FR"/>
              </w:rPr>
            </w:pPr>
          </w:p>
          <w:p w:rsidR="00552744" w:rsidRDefault="0071460D" w:rsidP="00552744">
            <w:pPr>
              <w:rPr>
                <w:lang w:val="fr-FR"/>
              </w:rPr>
            </w:pPr>
            <w:r w:rsidRPr="0071460D">
              <w:rPr>
                <w:noProof/>
              </w:rPr>
              <w:drawing>
                <wp:inline distT="0" distB="0" distL="0" distR="0">
                  <wp:extent cx="1301750" cy="447675"/>
                  <wp:effectExtent l="171450" t="133350" r="355600" b="314325"/>
                  <wp:docPr id="1" name="Afbeelding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2" cstate="print"/>
                          <a:srcRect l="1476" t="76033" r="37794" b="8858"/>
                          <a:stretch>
                            <a:fillRect/>
                          </a:stretch>
                        </pic:blipFill>
                        <pic:spPr bwMode="auto">
                          <a:xfrm>
                            <a:off x="0" y="0"/>
                            <a:ext cx="1301750" cy="447675"/>
                          </a:xfrm>
                          <a:prstGeom prst="rect">
                            <a:avLst/>
                          </a:prstGeom>
                          <a:ln>
                            <a:noFill/>
                          </a:ln>
                          <a:effectLst>
                            <a:outerShdw blurRad="292100" dist="139700" dir="2700000" algn="tl" rotWithShape="0">
                              <a:srgbClr val="333333">
                                <a:alpha val="65000"/>
                              </a:srgbClr>
                            </a:outerShdw>
                          </a:effectLst>
                        </pic:spPr>
                      </pic:pic>
                    </a:graphicData>
                  </a:graphic>
                </wp:inline>
              </w:drawing>
            </w:r>
            <w:r w:rsidRPr="0071460D">
              <w:rPr>
                <w:noProof/>
              </w:rPr>
              <w:drawing>
                <wp:inline distT="0" distB="0" distL="0" distR="0">
                  <wp:extent cx="1301750" cy="381000"/>
                  <wp:effectExtent l="171450" t="133350" r="355600" b="304800"/>
                  <wp:docPr id="2" name="Afbeelding 2"/>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3" cstate="print"/>
                          <a:srcRect l="1476" t="35065" r="37794" b="49828"/>
                          <a:stretch>
                            <a:fillRect/>
                          </a:stretch>
                        </pic:blipFill>
                        <pic:spPr bwMode="auto">
                          <a:xfrm>
                            <a:off x="0" y="0"/>
                            <a:ext cx="1301750" cy="381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6316E" w:rsidRPr="00552744" w:rsidRDefault="0071460D" w:rsidP="00552744">
            <w:pPr>
              <w:rPr>
                <w:lang w:val="fr-FR"/>
              </w:rPr>
            </w:pPr>
            <w:r w:rsidRPr="0071460D">
              <w:rPr>
                <w:noProof/>
              </w:rPr>
              <w:drawing>
                <wp:inline distT="0" distB="0" distL="0" distR="0">
                  <wp:extent cx="1301750" cy="419100"/>
                  <wp:effectExtent l="171450" t="133350" r="355600" b="304800"/>
                  <wp:docPr id="9" name="Afbeelding 3"/>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2" cstate="print"/>
                          <a:srcRect l="1476" t="55733" r="37794" b="29158"/>
                          <a:stretch>
                            <a:fillRect/>
                          </a:stretch>
                        </pic:blipFill>
                        <pic:spPr bwMode="auto">
                          <a:xfrm>
                            <a:off x="0" y="0"/>
                            <a:ext cx="1301750" cy="41910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367154" w:rsidRPr="004A4826" w:rsidRDefault="00367154">
      <w:pPr>
        <w:rPr>
          <w:lang w:val="fr-FR"/>
        </w:rPr>
      </w:pPr>
    </w:p>
    <w:sectPr w:rsidR="00367154" w:rsidRPr="004A4826" w:rsidSect="004A4826">
      <w:pgSz w:w="11906" w:h="16838"/>
      <w:pgMar w:top="284" w:right="39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DEE"/>
    <w:multiLevelType w:val="hybridMultilevel"/>
    <w:tmpl w:val="9312AEEA"/>
    <w:lvl w:ilvl="0" w:tplc="AAD64EC0">
      <w:numFmt w:val="bullet"/>
      <w:lvlText w:val="-"/>
      <w:lvlJc w:val="left"/>
      <w:pPr>
        <w:ind w:left="420" w:hanging="360"/>
      </w:pPr>
      <w:rPr>
        <w:rFonts w:ascii="Arial" w:eastAsia="Calibr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4826"/>
    <w:rsid w:val="00006513"/>
    <w:rsid w:val="00021769"/>
    <w:rsid w:val="00036FB9"/>
    <w:rsid w:val="000408A7"/>
    <w:rsid w:val="001538C4"/>
    <w:rsid w:val="001F13EF"/>
    <w:rsid w:val="00210DFF"/>
    <w:rsid w:val="00292FED"/>
    <w:rsid w:val="002A4D99"/>
    <w:rsid w:val="00367154"/>
    <w:rsid w:val="003B419B"/>
    <w:rsid w:val="00423727"/>
    <w:rsid w:val="004A4826"/>
    <w:rsid w:val="004A781E"/>
    <w:rsid w:val="00510F6A"/>
    <w:rsid w:val="00552744"/>
    <w:rsid w:val="00593807"/>
    <w:rsid w:val="006E1627"/>
    <w:rsid w:val="0071460D"/>
    <w:rsid w:val="007261AD"/>
    <w:rsid w:val="007D026D"/>
    <w:rsid w:val="008151E8"/>
    <w:rsid w:val="00836361"/>
    <w:rsid w:val="008D3298"/>
    <w:rsid w:val="00943299"/>
    <w:rsid w:val="009D114F"/>
    <w:rsid w:val="00A75AC9"/>
    <w:rsid w:val="00B10E3A"/>
    <w:rsid w:val="00B24711"/>
    <w:rsid w:val="00BB5888"/>
    <w:rsid w:val="00BE5E4F"/>
    <w:rsid w:val="00C264F7"/>
    <w:rsid w:val="00C60FB5"/>
    <w:rsid w:val="00CC05DC"/>
    <w:rsid w:val="00CD029F"/>
    <w:rsid w:val="00CF02EA"/>
    <w:rsid w:val="00D14947"/>
    <w:rsid w:val="00D23CCA"/>
    <w:rsid w:val="00D27DED"/>
    <w:rsid w:val="00D4025A"/>
    <w:rsid w:val="00DD76FE"/>
    <w:rsid w:val="00DE212B"/>
    <w:rsid w:val="00E64EAC"/>
    <w:rsid w:val="00E71481"/>
    <w:rsid w:val="00ED2C20"/>
    <w:rsid w:val="00EE4AE3"/>
    <w:rsid w:val="00F5590B"/>
    <w:rsid w:val="00F6316E"/>
    <w:rsid w:val="00F94375"/>
    <w:rsid w:val="00FD7A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14F"/>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table" w:styleId="Tabelraster">
    <w:name w:val="Table Grid"/>
    <w:basedOn w:val="Standaardtabel"/>
    <w:uiPriority w:val="59"/>
    <w:rsid w:val="004A4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A4826"/>
    <w:rPr>
      <w:strike w:val="0"/>
      <w:dstrike w:val="0"/>
      <w:color w:val="738FAC"/>
      <w:u w:val="none"/>
      <w:effect w:val="none"/>
    </w:rPr>
  </w:style>
  <w:style w:type="character" w:styleId="Zwaar">
    <w:name w:val="Strong"/>
    <w:basedOn w:val="Standaardalinea-lettertype"/>
    <w:uiPriority w:val="22"/>
    <w:qFormat/>
    <w:rsid w:val="004A4826"/>
    <w:rPr>
      <w:b/>
      <w:bCs/>
    </w:rPr>
  </w:style>
  <w:style w:type="paragraph" w:styleId="Lijstalinea">
    <w:name w:val="List Paragraph"/>
    <w:basedOn w:val="Standaard"/>
    <w:uiPriority w:val="34"/>
    <w:qFormat/>
    <w:rsid w:val="004A4826"/>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F6316E"/>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lonality.or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workshop@euroclonality.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euroclonality.or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2958</CharactersWithSpaces>
  <SharedDoc>false</SharedDoc>
  <HLinks>
    <vt:vector size="18" baseType="variant">
      <vt:variant>
        <vt:i4>4784140</vt:i4>
      </vt:variant>
      <vt:variant>
        <vt:i4>6</vt:i4>
      </vt:variant>
      <vt:variant>
        <vt:i4>0</vt:i4>
      </vt:variant>
      <vt:variant>
        <vt:i4>5</vt:i4>
      </vt:variant>
      <vt:variant>
        <vt:lpwstr>http://www.euroclonality.org/</vt:lpwstr>
      </vt:variant>
      <vt:variant>
        <vt:lpwstr/>
      </vt:variant>
      <vt:variant>
        <vt:i4>6750291</vt:i4>
      </vt:variant>
      <vt:variant>
        <vt:i4>3</vt:i4>
      </vt:variant>
      <vt:variant>
        <vt:i4>0</vt:i4>
      </vt:variant>
      <vt:variant>
        <vt:i4>5</vt:i4>
      </vt:variant>
      <vt:variant>
        <vt:lpwstr>mailto:workshop@euroclonality.org</vt:lpwstr>
      </vt:variant>
      <vt:variant>
        <vt:lpwstr/>
      </vt:variant>
      <vt:variant>
        <vt:i4>6750291</vt:i4>
      </vt:variant>
      <vt:variant>
        <vt:i4>0</vt:i4>
      </vt:variant>
      <vt:variant>
        <vt:i4>0</vt:i4>
      </vt:variant>
      <vt:variant>
        <vt:i4>5</vt:i4>
      </vt:variant>
      <vt:variant>
        <vt:lpwstr>mailto:workshop@euroclonality.org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z260117</dc:creator>
  <cp:lastModifiedBy>z260117</cp:lastModifiedBy>
  <cp:revision>3</cp:revision>
  <cp:lastPrinted>2015-05-07T07:37:00Z</cp:lastPrinted>
  <dcterms:created xsi:type="dcterms:W3CDTF">2015-06-23T12:01:00Z</dcterms:created>
  <dcterms:modified xsi:type="dcterms:W3CDTF">2015-10-13T10:54:00Z</dcterms:modified>
</cp:coreProperties>
</file>